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D10F" w14:textId="204511A5" w:rsidR="001E2F1B" w:rsidRPr="00B45B39" w:rsidRDefault="00C77D57" w:rsidP="001E2F1B">
      <w:pPr>
        <w:spacing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 w:val="24"/>
          <w:szCs w:val="24"/>
        </w:rPr>
        <w:t xml:space="preserve">John Day </w:t>
      </w:r>
      <w:r w:rsidR="00BE3251">
        <w:rPr>
          <w:rFonts w:cstheme="minorHAnsi"/>
          <w:b/>
          <w:sz w:val="24"/>
          <w:szCs w:val="24"/>
        </w:rPr>
        <w:t>Mitigation</w:t>
      </w:r>
      <w:r w:rsidR="000A2365" w:rsidRPr="00B45B39">
        <w:rPr>
          <w:rFonts w:cstheme="minorHAnsi"/>
          <w:b/>
          <w:sz w:val="24"/>
          <w:szCs w:val="24"/>
        </w:rPr>
        <w:t xml:space="preserve"> – P2: </w:t>
      </w:r>
      <w:r w:rsidR="002C60B9">
        <w:rPr>
          <w:rFonts w:cstheme="minorHAnsi"/>
          <w:b/>
          <w:sz w:val="24"/>
          <w:szCs w:val="24"/>
        </w:rPr>
        <w:t>122434</w:t>
      </w:r>
      <w:r w:rsidR="001E2F1B" w:rsidRPr="00B45B39">
        <w:rPr>
          <w:rFonts w:cstheme="minorHAnsi"/>
          <w:b/>
          <w:szCs w:val="24"/>
        </w:rPr>
        <w:br/>
      </w:r>
    </w:p>
    <w:p w14:paraId="2C540E62" w14:textId="77777777" w:rsidR="00AB43DD" w:rsidRPr="00B45B39" w:rsidRDefault="00AB43DD" w:rsidP="00B45B39">
      <w:pPr>
        <w:spacing w:line="240" w:lineRule="auto"/>
        <w:rPr>
          <w:rFonts w:cstheme="minorHAnsi"/>
          <w:b/>
          <w:sz w:val="24"/>
          <w:szCs w:val="24"/>
        </w:rPr>
      </w:pPr>
      <w:r w:rsidRPr="00B45B39">
        <w:rPr>
          <w:rFonts w:cstheme="minorHAnsi"/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B43DD" w:rsidRPr="00B45B39" w14:paraId="63EB00F1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2FB88897" w14:textId="77777777" w:rsidR="00AB43DD" w:rsidRPr="00B45B39" w:rsidRDefault="007C6093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P2 Identifier</w:t>
            </w:r>
          </w:p>
        </w:tc>
        <w:tc>
          <w:tcPr>
            <w:tcW w:w="6655" w:type="dxa"/>
            <w:vAlign w:val="center"/>
          </w:tcPr>
          <w:p w14:paraId="555CCB2B" w14:textId="52E8C2C8" w:rsidR="00AB43DD" w:rsidRPr="00B45B39" w:rsidRDefault="002C60B9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122434</w:t>
            </w:r>
          </w:p>
        </w:tc>
      </w:tr>
      <w:tr w:rsidR="00AB43DD" w:rsidRPr="00B45B39" w14:paraId="6E56D627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499012F7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Project Manager (PM)</w:t>
            </w:r>
          </w:p>
        </w:tc>
        <w:tc>
          <w:tcPr>
            <w:tcW w:w="6655" w:type="dxa"/>
            <w:vAlign w:val="center"/>
          </w:tcPr>
          <w:p w14:paraId="37345969" w14:textId="261CF845" w:rsidR="00AB43DD" w:rsidRPr="00B45B39" w:rsidRDefault="00C77D57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N/A</w:t>
            </w:r>
          </w:p>
        </w:tc>
      </w:tr>
      <w:tr w:rsidR="00AB43DD" w:rsidRPr="00B45B39" w14:paraId="4E499A27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14627B2D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Technical Lead (TL)</w:t>
            </w:r>
          </w:p>
        </w:tc>
        <w:tc>
          <w:tcPr>
            <w:tcW w:w="6655" w:type="dxa"/>
            <w:vAlign w:val="center"/>
          </w:tcPr>
          <w:p w14:paraId="211C1B22" w14:textId="6C906005" w:rsidR="00AB43DD" w:rsidRPr="00B45B39" w:rsidRDefault="00C77D57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N/A</w:t>
            </w:r>
          </w:p>
        </w:tc>
      </w:tr>
      <w:tr w:rsidR="00AB43DD" w:rsidRPr="00B45B39" w14:paraId="4DA00FEA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78ABA9D9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Biologist</w:t>
            </w:r>
            <w:r w:rsidR="00446100" w:rsidRPr="00B45B39">
              <w:rPr>
                <w:rFonts w:cstheme="minorHAnsi"/>
                <w:b/>
                <w:szCs w:val="24"/>
              </w:rPr>
              <w:t>/Coordination</w:t>
            </w:r>
          </w:p>
        </w:tc>
        <w:tc>
          <w:tcPr>
            <w:tcW w:w="6655" w:type="dxa"/>
            <w:vAlign w:val="center"/>
          </w:tcPr>
          <w:p w14:paraId="6C9FE84F" w14:textId="3FF23BFE" w:rsidR="00AB43DD" w:rsidRPr="00B45B39" w:rsidRDefault="00C8423B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Ian Chane</w:t>
            </w:r>
            <w:r w:rsidR="00446100" w:rsidRPr="00B45B39">
              <w:rPr>
                <w:rFonts w:cstheme="minorHAnsi"/>
                <w:szCs w:val="24"/>
              </w:rPr>
              <w:t xml:space="preserve"> </w:t>
            </w:r>
          </w:p>
        </w:tc>
      </w:tr>
    </w:tbl>
    <w:p w14:paraId="69B680FB" w14:textId="167AA107" w:rsidR="00446100" w:rsidRPr="00B45B39" w:rsidRDefault="00446100" w:rsidP="00B45B39">
      <w:pPr>
        <w:spacing w:line="240" w:lineRule="auto"/>
        <w:rPr>
          <w:rFonts w:cstheme="minorHAnsi"/>
          <w:b/>
          <w:sz w:val="24"/>
          <w:szCs w:val="24"/>
        </w:rPr>
      </w:pPr>
    </w:p>
    <w:p w14:paraId="436E7AD2" w14:textId="2A303895" w:rsidR="007D5B5E" w:rsidRPr="008C3194" w:rsidRDefault="00C8423B" w:rsidP="008C3194">
      <w:pPr>
        <w:rPr>
          <w:rFonts w:cstheme="minorHAnsi"/>
        </w:rPr>
      </w:pPr>
      <w:r>
        <w:t>The John Day Mitigation (JDM) program funds hatchery mitigation for the construction of The Dalles and John Day dams</w:t>
      </w:r>
      <w:r w:rsidR="00C96274">
        <w:rPr>
          <w:rFonts w:cstheme="minorHAnsi"/>
        </w:rPr>
        <w:t xml:space="preserve">. </w:t>
      </w:r>
      <w:r>
        <w:rPr>
          <w:rFonts w:cstheme="minorHAnsi"/>
        </w:rPr>
        <w:t xml:space="preserve">This funding is to continue investigation of an additional hatchery production site to continue implementing the JDM program. Current investigation </w:t>
      </w:r>
      <w:r w:rsidR="005963A8">
        <w:rPr>
          <w:rFonts w:cstheme="minorHAnsi"/>
        </w:rPr>
        <w:t>would evaluate</w:t>
      </w:r>
      <w:r>
        <w:rPr>
          <w:rFonts w:cstheme="minorHAnsi"/>
        </w:rPr>
        <w:t xml:space="preserve"> the </w:t>
      </w:r>
      <w:r w:rsidR="005963A8">
        <w:rPr>
          <w:rFonts w:cstheme="minorHAnsi"/>
        </w:rPr>
        <w:t xml:space="preserve">use of </w:t>
      </w:r>
      <w:r>
        <w:rPr>
          <w:rFonts w:cstheme="minorHAnsi"/>
        </w:rPr>
        <w:t>Umatilla Hatchery</w:t>
      </w:r>
      <w:r w:rsidR="005963A8">
        <w:rPr>
          <w:rFonts w:cstheme="minorHAnsi"/>
        </w:rPr>
        <w:t xml:space="preserve"> for incubation and rearing as part of a complete alternative</w:t>
      </w:r>
      <w:r>
        <w:rPr>
          <w:rFonts w:cstheme="minorHAnsi"/>
        </w:rPr>
        <w:t xml:space="preserve">. </w:t>
      </w:r>
      <w:r w:rsidR="005963A8">
        <w:rPr>
          <w:rFonts w:cstheme="minorHAnsi"/>
        </w:rPr>
        <w:t xml:space="preserve">FY23 funding would be used to reinitiate the Limited Reevaluation Report (LRR). </w:t>
      </w:r>
    </w:p>
    <w:p w14:paraId="53CDC948" w14:textId="77777777" w:rsidR="001E2F1B" w:rsidRPr="00B45B39" w:rsidRDefault="001E2F1B" w:rsidP="00423E4E">
      <w:pPr>
        <w:pStyle w:val="Default"/>
        <w:rPr>
          <w:rFonts w:asciiTheme="minorHAnsi" w:hAnsiTheme="minorHAnsi" w:cstheme="minorHAnsi"/>
          <w:color w:val="auto"/>
        </w:rPr>
      </w:pPr>
    </w:p>
    <w:p w14:paraId="18AFB1EA" w14:textId="77777777" w:rsidR="003B0929" w:rsidRPr="00B45B39" w:rsidRDefault="009C3B33" w:rsidP="009A1148">
      <w:pPr>
        <w:pStyle w:val="Default"/>
        <w:rPr>
          <w:rFonts w:asciiTheme="minorHAnsi" w:hAnsiTheme="minorHAnsi" w:cstheme="minorHAnsi"/>
          <w:b/>
          <w:color w:val="auto"/>
        </w:rPr>
      </w:pPr>
      <w:r w:rsidRPr="00B45B39">
        <w:rPr>
          <w:rFonts w:asciiTheme="minorHAnsi" w:hAnsiTheme="minorHAnsi" w:cstheme="minorHAnsi"/>
          <w:b/>
          <w:color w:val="auto"/>
        </w:rPr>
        <w:t>SCHEDULE &amp; COST</w:t>
      </w:r>
    </w:p>
    <w:p w14:paraId="274920EC" w14:textId="77777777" w:rsidR="003B0929" w:rsidRPr="00B45B39" w:rsidRDefault="003B0929" w:rsidP="00423E4E">
      <w:pPr>
        <w:pStyle w:val="Default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774"/>
        <w:gridCol w:w="6141"/>
      </w:tblGrid>
      <w:tr w:rsidR="00A37DA4" w:rsidRPr="00B45B39" w14:paraId="7BF1C6F1" w14:textId="77777777" w:rsidTr="00C8423B">
        <w:tc>
          <w:tcPr>
            <w:tcW w:w="1435" w:type="dxa"/>
          </w:tcPr>
          <w:p w14:paraId="3B80B914" w14:textId="744860CC" w:rsidR="00A37DA4" w:rsidRPr="00B45B39" w:rsidRDefault="001E2F1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</w:rPr>
              <w:t>Y</w:t>
            </w:r>
            <w:r w:rsidR="00C8423B">
              <w:rPr>
                <w:rFonts w:asciiTheme="minorHAnsi" w:hAnsiTheme="minorHAnsi" w:cstheme="minorHAnsi"/>
                <w:b/>
                <w:color w:val="auto"/>
              </w:rPr>
              <w:t>EAR</w:t>
            </w:r>
          </w:p>
        </w:tc>
        <w:tc>
          <w:tcPr>
            <w:tcW w:w="1774" w:type="dxa"/>
          </w:tcPr>
          <w:p w14:paraId="544908B5" w14:textId="6027F9B7" w:rsidR="00A37DA4" w:rsidRPr="00B45B39" w:rsidRDefault="00C8423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CAPABILITY</w:t>
            </w:r>
          </w:p>
        </w:tc>
        <w:tc>
          <w:tcPr>
            <w:tcW w:w="6141" w:type="dxa"/>
          </w:tcPr>
          <w:p w14:paraId="10DFFCCC" w14:textId="77777777" w:rsidR="00A37DA4" w:rsidRPr="00B45B39" w:rsidRDefault="001E2F1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</w:rPr>
              <w:t>MAJOR ACTIVITIES</w:t>
            </w:r>
          </w:p>
        </w:tc>
      </w:tr>
      <w:tr w:rsidR="00832F67" w:rsidRPr="00B45B39" w14:paraId="7C9C4DC2" w14:textId="77777777" w:rsidTr="00C8423B">
        <w:tc>
          <w:tcPr>
            <w:tcW w:w="1435" w:type="dxa"/>
            <w:vAlign w:val="center"/>
          </w:tcPr>
          <w:p w14:paraId="056A0B88" w14:textId="053B9A23" w:rsidR="00832F67" w:rsidRPr="00B45B39" w:rsidRDefault="00C77D57" w:rsidP="001E2F1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FY2</w:t>
            </w:r>
            <w:r w:rsidR="002C60B9">
              <w:rPr>
                <w:rFonts w:asciiTheme="minorHAnsi" w:hAnsiTheme="minorHAnsi" w:cstheme="minorHAnsi"/>
                <w:b/>
                <w:color w:val="auto"/>
                <w:sz w:val="22"/>
              </w:rPr>
              <w:t>3</w:t>
            </w:r>
          </w:p>
        </w:tc>
        <w:tc>
          <w:tcPr>
            <w:tcW w:w="1774" w:type="dxa"/>
          </w:tcPr>
          <w:p w14:paraId="50491D2C" w14:textId="5A94E430" w:rsidR="00832F67" w:rsidRPr="00B45B39" w:rsidRDefault="00C8423B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$25</w:t>
            </w:r>
            <w:r w:rsidR="002C60B9">
              <w:rPr>
                <w:rFonts w:asciiTheme="minorHAnsi" w:hAnsiTheme="minorHAnsi" w:cstheme="minorHAnsi"/>
                <w:color w:val="auto"/>
                <w:sz w:val="22"/>
              </w:rPr>
              <w:t>0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k</w:t>
            </w:r>
          </w:p>
        </w:tc>
        <w:tc>
          <w:tcPr>
            <w:tcW w:w="6141" w:type="dxa"/>
          </w:tcPr>
          <w:p w14:paraId="1FF106BD" w14:textId="51B3C019" w:rsidR="00832F67" w:rsidRPr="00B45B39" w:rsidRDefault="005963A8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LRR</w:t>
            </w:r>
            <w:r w:rsidR="00C8423B">
              <w:rPr>
                <w:rFonts w:asciiTheme="minorHAnsi" w:hAnsiTheme="minorHAnsi" w:cstheme="minorHAnsi"/>
                <w:color w:val="auto"/>
                <w:sz w:val="22"/>
              </w:rPr>
              <w:t xml:space="preserve"> report</w:t>
            </w:r>
          </w:p>
        </w:tc>
      </w:tr>
      <w:tr w:rsidR="00832F67" w:rsidRPr="00B45B39" w14:paraId="7BA94F68" w14:textId="77777777" w:rsidTr="00C8423B">
        <w:tc>
          <w:tcPr>
            <w:tcW w:w="1435" w:type="dxa"/>
            <w:vAlign w:val="center"/>
          </w:tcPr>
          <w:p w14:paraId="6625C9F6" w14:textId="75CCED2D" w:rsidR="00832F67" w:rsidRPr="00B45B39" w:rsidRDefault="00832F67" w:rsidP="009A114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774" w:type="dxa"/>
            <w:shd w:val="clear" w:color="auto" w:fill="auto"/>
          </w:tcPr>
          <w:p w14:paraId="52C1BDA1" w14:textId="5A6A94F0" w:rsidR="00832F67" w:rsidRPr="00B45B39" w:rsidRDefault="00832F67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141" w:type="dxa"/>
          </w:tcPr>
          <w:p w14:paraId="6D94AC77" w14:textId="6897BEA3" w:rsidR="00832F67" w:rsidRPr="00B45B39" w:rsidRDefault="00832F67" w:rsidP="00B677C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3A48450E" w14:textId="7A607856" w:rsidR="0030674D" w:rsidRPr="00B45B39" w:rsidRDefault="0030674D" w:rsidP="0032621C">
      <w:pPr>
        <w:tabs>
          <w:tab w:val="left" w:pos="360"/>
        </w:tabs>
        <w:spacing w:line="240" w:lineRule="auto"/>
        <w:rPr>
          <w:rFonts w:cstheme="minorHAnsi"/>
          <w:b/>
          <w:sz w:val="24"/>
          <w:szCs w:val="24"/>
        </w:rPr>
      </w:pPr>
    </w:p>
    <w:sectPr w:rsidR="0030674D" w:rsidRPr="00B45B39" w:rsidSect="00A52E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0AFC" w14:textId="77777777" w:rsidR="00BC4C20" w:rsidRDefault="00BC4C20" w:rsidP="007C6093">
      <w:pPr>
        <w:spacing w:after="0" w:line="240" w:lineRule="auto"/>
      </w:pPr>
      <w:r>
        <w:separator/>
      </w:r>
    </w:p>
  </w:endnote>
  <w:endnote w:type="continuationSeparator" w:id="0">
    <w:p w14:paraId="51B15AFD" w14:textId="77777777" w:rsidR="00BC4C20" w:rsidRDefault="00BC4C20" w:rsidP="007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1E80" w14:textId="77777777" w:rsidR="00BC4C20" w:rsidRDefault="00BC4C20" w:rsidP="007C6093">
      <w:pPr>
        <w:spacing w:after="0" w:line="240" w:lineRule="auto"/>
      </w:pPr>
      <w:r>
        <w:separator/>
      </w:r>
    </w:p>
  </w:footnote>
  <w:footnote w:type="continuationSeparator" w:id="0">
    <w:p w14:paraId="1CEBEEB6" w14:textId="77777777" w:rsidR="00BC4C20" w:rsidRDefault="00BC4C20" w:rsidP="007C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98F1" w14:textId="4FB321EA" w:rsidR="007C6093" w:rsidRDefault="001E2F1B">
    <w:pPr>
      <w:pStyle w:val="Header"/>
    </w:pPr>
    <w:r>
      <w:t xml:space="preserve">CRFM PROGRAM – </w:t>
    </w:r>
    <w:r w:rsidR="00B45B39">
      <w:t>COLUMBIA RIVER WORKPLAN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22C"/>
    <w:multiLevelType w:val="hybridMultilevel"/>
    <w:tmpl w:val="9AD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EF4"/>
    <w:multiLevelType w:val="hybridMultilevel"/>
    <w:tmpl w:val="B88C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7AD6"/>
    <w:multiLevelType w:val="hybridMultilevel"/>
    <w:tmpl w:val="65307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2E216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D2619"/>
    <w:multiLevelType w:val="hybridMultilevel"/>
    <w:tmpl w:val="794E2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A11D6"/>
    <w:multiLevelType w:val="hybridMultilevel"/>
    <w:tmpl w:val="26D2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A6E99"/>
    <w:multiLevelType w:val="hybridMultilevel"/>
    <w:tmpl w:val="EEB6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A8E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809E5"/>
    <w:multiLevelType w:val="hybridMultilevel"/>
    <w:tmpl w:val="BB482CBE"/>
    <w:lvl w:ilvl="0" w:tplc="FF200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72B57"/>
    <w:multiLevelType w:val="hybridMultilevel"/>
    <w:tmpl w:val="D85A6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DD"/>
    <w:rsid w:val="000461A9"/>
    <w:rsid w:val="00057C72"/>
    <w:rsid w:val="000708CA"/>
    <w:rsid w:val="000A2365"/>
    <w:rsid w:val="000A3585"/>
    <w:rsid w:val="000C121B"/>
    <w:rsid w:val="000C6A16"/>
    <w:rsid w:val="000D67E7"/>
    <w:rsid w:val="000E269F"/>
    <w:rsid w:val="001043CB"/>
    <w:rsid w:val="00111815"/>
    <w:rsid w:val="00135748"/>
    <w:rsid w:val="0014611E"/>
    <w:rsid w:val="001A1126"/>
    <w:rsid w:val="001A657A"/>
    <w:rsid w:val="001B0B24"/>
    <w:rsid w:val="001C5090"/>
    <w:rsid w:val="001C50CF"/>
    <w:rsid w:val="001E2F1B"/>
    <w:rsid w:val="00262421"/>
    <w:rsid w:val="00264B28"/>
    <w:rsid w:val="002C60B9"/>
    <w:rsid w:val="002D29C5"/>
    <w:rsid w:val="002E1449"/>
    <w:rsid w:val="002F404A"/>
    <w:rsid w:val="0030041C"/>
    <w:rsid w:val="0030674D"/>
    <w:rsid w:val="00322958"/>
    <w:rsid w:val="0032621C"/>
    <w:rsid w:val="00356D4B"/>
    <w:rsid w:val="00364B1E"/>
    <w:rsid w:val="003B0929"/>
    <w:rsid w:val="003D2255"/>
    <w:rsid w:val="00407629"/>
    <w:rsid w:val="00423E4E"/>
    <w:rsid w:val="00432435"/>
    <w:rsid w:val="00446100"/>
    <w:rsid w:val="0047768A"/>
    <w:rsid w:val="004813B5"/>
    <w:rsid w:val="004B09F7"/>
    <w:rsid w:val="004B7D45"/>
    <w:rsid w:val="004C3C42"/>
    <w:rsid w:val="004D7DAB"/>
    <w:rsid w:val="004F2147"/>
    <w:rsid w:val="004F71E9"/>
    <w:rsid w:val="005139D7"/>
    <w:rsid w:val="005376E3"/>
    <w:rsid w:val="00540970"/>
    <w:rsid w:val="005666F3"/>
    <w:rsid w:val="005942EE"/>
    <w:rsid w:val="005963A8"/>
    <w:rsid w:val="005E65F0"/>
    <w:rsid w:val="005E6697"/>
    <w:rsid w:val="00607A09"/>
    <w:rsid w:val="00630690"/>
    <w:rsid w:val="00643AD3"/>
    <w:rsid w:val="006668BE"/>
    <w:rsid w:val="00675397"/>
    <w:rsid w:val="00697E56"/>
    <w:rsid w:val="006B446F"/>
    <w:rsid w:val="006C65BB"/>
    <w:rsid w:val="006E630B"/>
    <w:rsid w:val="00701251"/>
    <w:rsid w:val="007124F9"/>
    <w:rsid w:val="007132D8"/>
    <w:rsid w:val="00727958"/>
    <w:rsid w:val="00761ED2"/>
    <w:rsid w:val="007C5A7F"/>
    <w:rsid w:val="007C6093"/>
    <w:rsid w:val="007D5B5E"/>
    <w:rsid w:val="00832535"/>
    <w:rsid w:val="00832F67"/>
    <w:rsid w:val="00867EFA"/>
    <w:rsid w:val="00895394"/>
    <w:rsid w:val="008A0CC0"/>
    <w:rsid w:val="008A10CF"/>
    <w:rsid w:val="008C3194"/>
    <w:rsid w:val="008C692A"/>
    <w:rsid w:val="008D7ED5"/>
    <w:rsid w:val="008F5322"/>
    <w:rsid w:val="00940A06"/>
    <w:rsid w:val="00940C28"/>
    <w:rsid w:val="0094515B"/>
    <w:rsid w:val="009451C3"/>
    <w:rsid w:val="0096440D"/>
    <w:rsid w:val="00983B64"/>
    <w:rsid w:val="009947DF"/>
    <w:rsid w:val="009A1148"/>
    <w:rsid w:val="009B331B"/>
    <w:rsid w:val="009C3B33"/>
    <w:rsid w:val="009D0D8C"/>
    <w:rsid w:val="009E0C76"/>
    <w:rsid w:val="00A12188"/>
    <w:rsid w:val="00A13BBB"/>
    <w:rsid w:val="00A23EC6"/>
    <w:rsid w:val="00A37DA4"/>
    <w:rsid w:val="00A52E17"/>
    <w:rsid w:val="00A56C8B"/>
    <w:rsid w:val="00A72E88"/>
    <w:rsid w:val="00AB1EF4"/>
    <w:rsid w:val="00AB2F05"/>
    <w:rsid w:val="00AB43DD"/>
    <w:rsid w:val="00AF1E61"/>
    <w:rsid w:val="00AF6AD4"/>
    <w:rsid w:val="00B153DD"/>
    <w:rsid w:val="00B17064"/>
    <w:rsid w:val="00B263D4"/>
    <w:rsid w:val="00B27A03"/>
    <w:rsid w:val="00B35620"/>
    <w:rsid w:val="00B45B39"/>
    <w:rsid w:val="00B677C9"/>
    <w:rsid w:val="00B75ADF"/>
    <w:rsid w:val="00BA6163"/>
    <w:rsid w:val="00BC4C20"/>
    <w:rsid w:val="00BC5A2A"/>
    <w:rsid w:val="00BE2E7E"/>
    <w:rsid w:val="00BE3251"/>
    <w:rsid w:val="00BE46C5"/>
    <w:rsid w:val="00C514E7"/>
    <w:rsid w:val="00C62F28"/>
    <w:rsid w:val="00C77D57"/>
    <w:rsid w:val="00C8423B"/>
    <w:rsid w:val="00C96274"/>
    <w:rsid w:val="00CA13F4"/>
    <w:rsid w:val="00CB264C"/>
    <w:rsid w:val="00CE724F"/>
    <w:rsid w:val="00D1748E"/>
    <w:rsid w:val="00DB36C3"/>
    <w:rsid w:val="00DD1F53"/>
    <w:rsid w:val="00DF536A"/>
    <w:rsid w:val="00E151D4"/>
    <w:rsid w:val="00E21363"/>
    <w:rsid w:val="00E227E9"/>
    <w:rsid w:val="00E34557"/>
    <w:rsid w:val="00E47459"/>
    <w:rsid w:val="00E529CE"/>
    <w:rsid w:val="00E74DE5"/>
    <w:rsid w:val="00EA667C"/>
    <w:rsid w:val="00ED5903"/>
    <w:rsid w:val="00EE38FC"/>
    <w:rsid w:val="00EF78C1"/>
    <w:rsid w:val="00F26BB1"/>
    <w:rsid w:val="00F30035"/>
    <w:rsid w:val="00F4159E"/>
    <w:rsid w:val="00F54234"/>
    <w:rsid w:val="00F564B6"/>
    <w:rsid w:val="00F71268"/>
    <w:rsid w:val="00FC4C6B"/>
    <w:rsid w:val="00FD3E96"/>
    <w:rsid w:val="00FF1241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EC21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093"/>
  </w:style>
  <w:style w:type="paragraph" w:styleId="Footer">
    <w:name w:val="footer"/>
    <w:basedOn w:val="Normal"/>
    <w:link w:val="Foot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093"/>
  </w:style>
  <w:style w:type="paragraph" w:styleId="BalloonText">
    <w:name w:val="Balloon Text"/>
    <w:basedOn w:val="Normal"/>
    <w:link w:val="BalloonTextChar"/>
    <w:uiPriority w:val="99"/>
    <w:semiHidden/>
    <w:unhideWhenUsed/>
    <w:rsid w:val="004B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2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USACE</dc:creator>
  <cp:lastModifiedBy>Royer, Ida M CIV USARMY CENWP (USA)</cp:lastModifiedBy>
  <cp:revision>3</cp:revision>
  <cp:lastPrinted>2017-06-23T18:17:00Z</cp:lastPrinted>
  <dcterms:created xsi:type="dcterms:W3CDTF">2022-08-15T21:56:00Z</dcterms:created>
  <dcterms:modified xsi:type="dcterms:W3CDTF">2022-08-19T19:57:00Z</dcterms:modified>
</cp:coreProperties>
</file>